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  <w:outlineLvl w:val="0"/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ОБЪЯВЛЕНИЕ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  <w:highlight w:val="white"/>
        </w:rPr>
        <w:outlineLvl w:val="0"/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 проведении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конкурсного отбора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муниципальных образований 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Новосибирской области на предоставление субсидий из областного бюджета Новосибирской области для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осуществления стимулирования в виде поощрения участников профилактики и тушения ландшафтных пожаров на территории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1.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 Общее положение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. </w:t>
      </w:r>
      <w:r>
        <w:rPr>
          <w:rFonts w:ascii="Times New Roman" w:hAnsi="Times New Roman" w:cs="Times New Roman"/>
          <w:b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color w:val="auto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соответствии с Порядком предоставления и распределения субсидий из областного бюджета Новосибирской области муниципальным образованиям Новосибирской области для осуществления стимулирования в виде поощрения участников профилактики и тушения ландшафтных по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жаров на территории Новосибирской области, утвержденным постановлением Правительства Новосибирской области от 03.06.2024 № 261-п (далее – Порядок)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министерство жилищно-коммунального хозяйства и энергетики Новосибирской области (управление по предупреждению чрезвычайных ситуаций) проводит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конкурсный отбор муниципальных образований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Новосибирской области на предоставление субсидий из областного бюджета Новосибирской области для осуществления стимулирования в виде поощрения участников профи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лактики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и тушения ландшафтных пожаров на территории Новосибирской области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2. Сроки проведения конкурсного отбора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2.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1. прием заявок от глав муниципальных образований Новосибирской области (далее – заявки) на участие в конкурсе с прилагаемыми к ним документами – с 8 октября 2025 года по 9 ноября 2025 года;</w:t>
      </w:r>
      <w:r>
        <w:rPr>
          <w:rFonts w:ascii="Times New Roman" w:hAnsi="Times New Roman" w:cs="Times New Roman"/>
          <w:b w:val="0"/>
          <w:bCs w:val="0"/>
          <w:color w:val="000000" w:themeColor="text1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2.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. 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проверка поступивших на конкурс заявок и прилагаемых к ним документов на соответствие требованиям Порядка – с 10 ноября 2025 года по 21 ноября 2025 года;</w:t>
      </w:r>
      <w:r>
        <w:rPr>
          <w:rFonts w:ascii="Times New Roman" w:hAnsi="Times New Roman" w:cs="Times New Roman"/>
          <w:b w:val="0"/>
          <w:bCs w:val="0"/>
          <w:color w:val="000000" w:themeColor="text1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2.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3.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заседание комиссии по рассмотрению и оценке представленных заявок с принятием решения о предоставлении субсидии муниципальным образованиям Новосибирской области или об отказе в таком предоставлении – до 5 декабря 2025 года;</w:t>
      </w:r>
      <w:r>
        <w:rPr>
          <w:rFonts w:ascii="Times New Roman" w:hAnsi="Times New Roman" w:cs="Times New Roman"/>
          <w:b w:val="0"/>
          <w:bCs w:val="0"/>
          <w:color w:val="000000" w:themeColor="text1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2.4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. 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уведомление глав муниципальных образований Новосибирской области об итогах конкурса – до 25 декабря 2025 года.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pStyle w:val="835"/>
        <w:ind w:left="0" w:right="0"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</w:rPr>
        <w:t xml:space="preserve">3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. Т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ребования к 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муниципальным образования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м, перечень документов, и порядок представления заявок для участия в конкурсном отборе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white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3.1. Муниципальные образования должны соответ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ствовать следующим требованиям: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1) на территории муниципального образования находятся населенные пункты, включенные в Перечень населенных пунктов Новосибирской области, территория вокруг которых является наиболее горимой (далее – Перечень);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2) на территории муниципального образования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обеспечено функционирование органов управления и сил единой государственной системы предупреждения и ликвидации чрезвычайных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ситуаций муниципального звена в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режиме функционирования «повышенной готовности» или «чрезвычайной ситуации», установленное нормативным правовым актом органа местного самоуправления на террито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рии муниципального образования;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contextualSpacing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3) решением комиссии по предупреждению и ликвидации чрезвычайных ситуаций и обеспечения пожарной безопасности муниципального образовани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 Новосибирской области (далее 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КЧС и ОПБ МО) до начала особого противопожарного режима на очередной год определены патрульные, патрульно-маневренные, маневренные группы, их состав;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contextualSpacing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4) решением КЧС и ОПБ МО установлен муниципальный уровень реагирования 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ландшафтные (природные) пожары;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contextualSpacing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5) наличие расходных обязательств муниципального образования Новосибирской области, для софинансирования которых предоставляются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субсидии с учетом предельного уровня софинансирования, установленного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распоряжением Правительства Новосибирской области об установлении предельных уровней софинансировани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 на очередной финансовый год и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плановый период, для соответствующего му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ниципального образования (далее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 распоряжение об установлении предельных уровней софинансирования)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3.2.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Для участия в конкурсном отборе глава муниципального образования, соответствующего требованиям, указанным в пункте 3.1 настоящего объявления,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формирует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подает одну заявку по форме, утвержденной приказом министерства, содержащую в том числе информацию по населенным пунктам данного муниципального образования, указанным в Перечне.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3.3. 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Для участия в конкурсном отборе муниципальные образования представляют в министерство следующие документы: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1) заявку о предоставлении субсидии по форме установленной в приказе министерства жилищно-коммунального хозяйства и энергетики Новосибирской области от 07.10.2025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 255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-НПА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 объявлении конкурсного отбора среди муниципальных образований Новосибирской области по предоставлению и распределению субсидий из областного бюджета Новосибирской области муниципальным образованиям Новосибирской области для осуществления стимулирования 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виде поощрения участников профилактики и тушения ландшафтных пожаров на территории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2025 году» (далее – Приказ министерства);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2) нормативные правовые акты муниципальных образований, регулирующие функцио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нирование органов управления и сил единой государственной системы предупреждения и ликвидации чрезвычайных ситуаций муниципального звена в режиме функционирования «повышенной готовности» или «чрезвычайной ситуации» на территории муниципального образования;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tabs>
          <w:tab w:val="left" w:pos="652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3)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решение КЧС и ОПБ МО об установлении муниципального уровня реагирования 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ландшафтные (природные) пожары;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tabs>
          <w:tab w:val="left" w:pos="652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4) расчет потребности бюджетных ассигнований на предоставление субсидии согласно форме, утвержденной Приказом министерства;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5) решение КЧС и ОПБ МО об определении патрульных, патрульно-маневренных,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маневренных групп, их составе.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3.4. 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Заявка и документы, указанные в пункте 3.3 настоящего объявления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представляются главами муниципальных образований посредством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системы электронного документооборота и делопроизводства Правительства Новосибирской области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министерство до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окончания срока приема заявок.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35"/>
        <w:ind w:left="0" w:right="0"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</w:rPr>
        <w:t xml:space="preserve">4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. Критерии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 конкурсного отбор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</w:rPr>
        <w:t xml:space="preserve">а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white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4.1. Критерием конкурсного отбора является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количество термических точек и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уровень их снижения на территории муниципального образования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период действия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особого противопожарного режима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исходя из показателей расчета.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4.2.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Расчет потребности бюджетных ассигнований на предоставлени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субсидий осуществляется с учетом следующих показателей: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снижение количества термических точек на наиболее горимой территории вокруг населенных пунктов, указанных в Перечне, в период действия особого противопожарного режима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составило от 51–100% в сравнении с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прошлым годом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убсидии предоставляются исходя из расчета: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 при отсутствии термических точек в течении суток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размере 6 000,0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рубл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 один населенный пункт, указанный в Перечне, в сутки;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 при возникновении за сутки до 5 терм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ических точек и их ликвидации в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течении суток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размере 3 000,0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рубл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 один населенный пункт, указанный 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Перечне, в сутки;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 при возникновении за сутки более 5 термических точек или ликвидации термических точек более суток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субсидии не предоставляются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снижение количества термических точек на наиболее горимой территории вокруг населенных пунктов, указанных в Перечне, в период действия особого противопожарного режима составило от 21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50% в сравнении с прошлым годом. 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убсидии предоставляются исходя из расчета: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 при отсутствии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термических точек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течении суток – в размере 3 000,0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рубл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 один населенный пункт,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указанный в Перечне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в сутки;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 при возникновении за сутки до 5 термических точек и их ликвидации 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чении суток – в размере 1 500,0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рубл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 один населенный пункт,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указанный 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Перечне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в сутки;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 при возникновении за сутки более 5 термических точек или ликвидации термических точек более суток – субсидии не предоставляются;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3) снижение количества термических точек на наиболее горимой территории вокруг населенны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х пунктов, указанных в Перечне,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период действия особого противо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пожарного режима составило от 0–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20% или произошло увеличение их количества в сравнени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с прошлым годом – субсидии не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предоставляются.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Полученная при расчете сумма умножается на уровень софинансирования, предусмотренный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распоряжением об установлении предельных уровней софинансирования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4.3.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 Основаниями для отклонения заявки на стадии проверки заявок являются:</w:t>
      </w:r>
      <w:r>
        <w:rPr>
          <w:rFonts w:ascii="Times New Roman" w:hAnsi="Times New Roman" w:cs="Times New Roman"/>
          <w:spacing w:val="-2"/>
          <w:sz w:val="28"/>
          <w:szCs w:val="28"/>
          <w:highlight w:val="none"/>
        </w:rPr>
      </w:r>
      <w:r>
        <w:rPr>
          <w:rFonts w:ascii="Times New Roman" w:hAnsi="Times New Roman" w:cs="Times New Roman"/>
          <w:spacing w:val="-2"/>
          <w:sz w:val="28"/>
          <w:szCs w:val="28"/>
          <w:highlight w:val="none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1) несоответствие представленных главами муниципальных образований заявок, документов требованиям, установленным пунктами 3.2, 3.3 настоящего объявления;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2) несоответствие муниципального образования требованиям, установленным в пункте 3.1 настоящего объявления;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3) нарушение сроков подачи заявки и документов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наличии оснований для отклонения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заявки министерство в течение пяти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рабочих дней с даты подачи заявки направляет посредством СЭДД письмо главе муниципального образования об отклонении заявки.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После отклонения заявки глава муниципального образования в случае устранения замечаний вправе повторно подать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заявку.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b/>
          <w:color w:val="auto"/>
          <w:sz w:val="28"/>
          <w:szCs w:val="28"/>
          <w:highlight w:val="white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shd w:val="clear" w:color="auto" w:fill="ffffff"/>
        </w:rPr>
        <w:t xml:space="preserve">5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  <w:shd w:val="clear" w:color="auto" w:fill="ffffff"/>
        </w:rPr>
        <w:t xml:space="preserve">. Срок, в течении которого победитель отбора должен подписать соглашение о предоставлении субсидии.</w:t>
      </w:r>
      <w:r>
        <w:rPr>
          <w:rFonts w:ascii="Times New Roman" w:hAnsi="Times New Roman" w:cs="Times New Roman"/>
          <w:b/>
          <w:color w:val="auto"/>
          <w:sz w:val="28"/>
          <w:szCs w:val="28"/>
          <w:highlight w:val="white"/>
          <w:shd w:val="clear" w:color="auto" w:fill="ffffff"/>
        </w:rPr>
      </w:r>
      <w:r>
        <w:rPr>
          <w:rFonts w:ascii="Times New Roman" w:hAnsi="Times New Roman" w:cs="Times New Roman"/>
          <w:b/>
          <w:color w:val="auto"/>
          <w:sz w:val="28"/>
          <w:szCs w:val="28"/>
          <w:highlight w:val="white"/>
          <w:shd w:val="clear" w:color="auto" w:fill="ffffff"/>
        </w:rPr>
      </w:r>
    </w:p>
    <w:p>
      <w:pPr>
        <w:pStyle w:val="836"/>
        <w:ind w:left="0"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Соглашение о предоставлении субсидии заключается в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двухмесячный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срок после доведения лимита финансовых средств до министерства и принятия ре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шения о предоставлении субсидии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по типовой форме, ут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вержденной приказом министерства финансов и налоговой политики Новосибирской области от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09.01.2020 № 1-НПА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Об утверждении типовой формы соглашения о предоставлении субсидии из областного бюджета Новосибирской области бюджету муниципального образования Новосибирской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области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». 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Соглашение должно содержать в себ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 положения, указанные в пункте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8 Правил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области, установленных постановлением Правител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ьства Новосибирской области от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03.03.2020 №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40-п «О Правилах формирования, предоставления и распределения субсидий из областного бюджета Новоси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бирской области бюджетам муниципальных образований Новосибирской области».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836"/>
        <w:ind w:left="0" w:firstLine="709"/>
        <w:jc w:val="both"/>
        <w:spacing w:after="0" w:line="240" w:lineRule="auto"/>
        <w:widowControl w:val="off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Муниципальное образование Новосибирской области подписывает и направляет соглашение в министерство не позднее пяти рабочих дней со дня поступления проекта соглашения в муниципальное образование Новосибирской области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.</w:t>
      </w:r>
      <w:r>
        <w:rPr>
          <w:color w:val="auto"/>
        </w:rPr>
      </w:r>
      <w:r>
        <w:rPr>
          <w:color w:val="auto"/>
        </w:rPr>
      </w:r>
    </w:p>
    <w:p>
      <w:pPr>
        <w:pStyle w:val="836"/>
        <w:ind w:left="0"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Подписанный главой муниципального образования Новосибирской области проект соглашения в течение 10 рабочих дней подписывается уполномоченным лицом министерства.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</w:p>
    <w:p>
      <w:pPr>
        <w:pStyle w:val="836"/>
        <w:ind w:left="0" w:firstLine="709"/>
        <w:jc w:val="both"/>
        <w:spacing w:after="0" w:line="240" w:lineRule="auto"/>
        <w:widowControl w:val="off"/>
        <w:rPr>
          <w:rFonts w:ascii="Times New Roman" w:hAnsi="Times New Roman" w:cs="Times New Roman"/>
          <w:b/>
          <w:bCs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b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</w:rPr>
        <w:t xml:space="preserve">6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white"/>
        </w:rPr>
        <w:t xml:space="preserve">. Контактные данные:</w:t>
      </w:r>
      <w:r>
        <w:rPr>
          <w:rFonts w:ascii="Times New Roman" w:hAnsi="Times New Roman" w:cs="Times New Roman"/>
          <w:b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color w:val="auto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auto"/>
          <w:sz w:val="28"/>
          <w:szCs w:val="28"/>
          <w:highlight w:val="white"/>
          <w:u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1) заместитель министра – начальник управлени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u w:val="none"/>
        </w:rPr>
        <w:t xml:space="preserve">я по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предупреждения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u w:val="none"/>
        </w:rPr>
        <w:t xml:space="preserve">чрезвычайных ситуаций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u w:val="none"/>
        </w:rPr>
        <w:t xml:space="preserve">министерства жилищно-коммунального хозяйства и энергетики Новосибирской области – Рахманов Степан Александрович (8-383-238-42-45, </w:t>
      </w:r>
      <w:hyperlink r:id="rId8" w:tooltip="mailto:rsa@nso.ru" w:history="1">
        <w:r>
          <w:rPr>
            <w:rStyle w:val="834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  <w:lang w:val="en-US"/>
          </w:rPr>
          <w:t xml:space="preserve">rsa</w:t>
        </w:r>
        <w:r>
          <w:rPr>
            <w:rStyle w:val="834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@</w:t>
        </w:r>
        <w:r>
          <w:rPr>
            <w:rStyle w:val="834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  <w:lang w:val="en-US"/>
          </w:rPr>
          <w:t xml:space="preserve">nso</w:t>
        </w:r>
        <w:r>
          <w:rPr>
            <w:rStyle w:val="834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.</w:t>
        </w:r>
        <w:r>
          <w:rPr>
            <w:rStyle w:val="834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  <w:lang w:val="en-US"/>
          </w:rPr>
          <w:t xml:space="preserve">ru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u w:val="none"/>
        </w:rPr>
        <w:t xml:space="preserve">);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  <w:u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2) начальник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отдела предупреждения ЧС и сопровождения программ управления по предупреждению чрезвычайных ситуаций министерства жилищно-коммунального хозяйства и энергетики Новосибирской области –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Фёдоров Алексей Анасович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(8-383-238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-42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-46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u w:val="single"/>
        </w:rPr>
        <w:t xml:space="preserve">a</w:t>
      </w:r>
      <w:hyperlink r:id="rId9" w:tooltip="mailto:mmn@nso.ru" w:history="1">
        <w:r>
          <w:rPr>
            <w:rStyle w:val="834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lang w:val="en-US"/>
          </w:rPr>
          <w:t xml:space="preserve">af</w:t>
        </w:r>
        <w:r>
          <w:rPr>
            <w:rStyle w:val="834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@</w:t>
        </w:r>
        <w:r>
          <w:rPr>
            <w:rStyle w:val="834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lang w:val="en-US"/>
          </w:rPr>
          <w:t xml:space="preserve">nso</w:t>
        </w:r>
        <w:r>
          <w:rPr>
            <w:rStyle w:val="834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.</w:t>
        </w:r>
        <w:r>
          <w:rPr>
            <w:rStyle w:val="834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lang w:val="en-US"/>
          </w:rPr>
          <w:t xml:space="preserve">ru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)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3) 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консультант отдела предупреждения ЧС и сопровождения программ управления по предупреждению чрезвычайных ситуаций министерства жилищно-коммунального хозяйства и энергетики Новосибирской области –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Дударик Ольга Анатольевна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(8-383-2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38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-42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-48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, </w:t>
      </w:r>
      <w:hyperlink r:id="rId10" w:tooltip="mailto:mmn@nso.ru" w:history="1">
        <w:r>
          <w:rPr>
            <w:rStyle w:val="834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lang w:val="en-US"/>
          </w:rPr>
          <w:t xml:space="preserve">duoa</w:t>
        </w:r>
        <w:r>
          <w:rPr>
            <w:rStyle w:val="834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@</w:t>
        </w:r>
        <w:r>
          <w:rPr>
            <w:rStyle w:val="834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lang w:val="en-US"/>
          </w:rPr>
          <w:t xml:space="preserve">nso</w:t>
        </w:r>
        <w:r>
          <w:rPr>
            <w:rStyle w:val="834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.</w:t>
        </w:r>
        <w:r>
          <w:rPr>
            <w:rStyle w:val="834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lang w:val="en-US"/>
          </w:rPr>
          <w:t xml:space="preserve">ru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>
    <w:name w:val="Table Grid"/>
    <w:basedOn w:val="831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4">
    <w:name w:val="Hyperlink"/>
    <w:basedOn w:val="830"/>
    <w:uiPriority w:val="99"/>
    <w:unhideWhenUsed/>
    <w:rPr>
      <w:color w:val="0563c1" w:themeColor="hyperlink"/>
      <w:u w:val="single"/>
    </w:rPr>
  </w:style>
  <w:style w:type="paragraph" w:styleId="835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36">
    <w:name w:val="List Paragraph"/>
    <w:basedOn w:val="829"/>
    <w:uiPriority w:val="34"/>
    <w:qFormat/>
    <w:pPr>
      <w:contextualSpacing/>
      <w:ind w:left="720"/>
      <w:spacing w:after="200" w:line="276" w:lineRule="auto"/>
    </w:pPr>
    <w:rPr>
      <w:rFonts w:eastAsiaTheme="minorEastAsia"/>
      <w:lang w:eastAsia="ru-RU"/>
    </w:rPr>
  </w:style>
  <w:style w:type="paragraph" w:styleId="837">
    <w:name w:val="Document Map"/>
    <w:basedOn w:val="829"/>
    <w:link w:val="83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38" w:customStyle="1">
    <w:name w:val="Схема документа Знак"/>
    <w:basedOn w:val="830"/>
    <w:link w:val="837"/>
    <w:uiPriority w:val="99"/>
    <w:semiHidden/>
    <w:rPr>
      <w:rFonts w:ascii="Tahoma" w:hAnsi="Tahoma" w:cs="Tahoma"/>
      <w:sz w:val="16"/>
      <w:szCs w:val="16"/>
    </w:rPr>
  </w:style>
  <w:style w:type="paragraph" w:styleId="839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mailto:rsa@nso.ru" TargetMode="External"/><Relationship Id="rId9" Type="http://schemas.openxmlformats.org/officeDocument/2006/relationships/hyperlink" Target="mailto:mmn@nso.ru" TargetMode="External"/><Relationship Id="rId10" Type="http://schemas.openxmlformats.org/officeDocument/2006/relationships/hyperlink" Target="mailto:mmn@nso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 Михаил Николаевич</dc:creator>
  <cp:keywords/>
  <dc:description/>
  <cp:revision>13</cp:revision>
  <dcterms:created xsi:type="dcterms:W3CDTF">2023-03-03T07:19:00Z</dcterms:created>
  <dcterms:modified xsi:type="dcterms:W3CDTF">2025-10-08T03:40:09Z</dcterms:modified>
</cp:coreProperties>
</file>